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60" w:rsidRPr="00765F78" w:rsidRDefault="00B51560" w:rsidP="00B51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Pr="00765F78">
        <w:rPr>
          <w:rFonts w:ascii="Times New Roman" w:hAnsi="Times New Roman" w:cs="Times New Roman"/>
          <w:b/>
          <w:sz w:val="28"/>
          <w:szCs w:val="28"/>
        </w:rPr>
        <w:t xml:space="preserve"> СПРАВКА</w:t>
      </w:r>
    </w:p>
    <w:p w:rsidR="00B51560" w:rsidRDefault="00B51560" w:rsidP="00B51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F78">
        <w:rPr>
          <w:rFonts w:ascii="Times New Roman" w:hAnsi="Times New Roman" w:cs="Times New Roman"/>
          <w:sz w:val="28"/>
          <w:szCs w:val="28"/>
        </w:rPr>
        <w:t xml:space="preserve">по спорту </w:t>
      </w:r>
      <w:r>
        <w:rPr>
          <w:rFonts w:ascii="Times New Roman" w:hAnsi="Times New Roman" w:cs="Times New Roman"/>
          <w:sz w:val="28"/>
          <w:szCs w:val="28"/>
        </w:rPr>
        <w:t xml:space="preserve">слепых </w:t>
      </w:r>
      <w:r w:rsidRPr="00765F7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765F78">
        <w:rPr>
          <w:rFonts w:ascii="Times New Roman" w:hAnsi="Times New Roman" w:cs="Times New Roman"/>
          <w:sz w:val="28"/>
          <w:szCs w:val="28"/>
        </w:rPr>
        <w:t>)</w:t>
      </w:r>
    </w:p>
    <w:p w:rsidR="00B51560" w:rsidRDefault="00B51560" w:rsidP="006C6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51560" w:rsidRPr="00B51560" w:rsidRDefault="00B51560" w:rsidP="006C6456">
      <w:pPr>
        <w:pStyle w:val="a5"/>
        <w:tabs>
          <w:tab w:val="left" w:pos="1478"/>
        </w:tabs>
        <w:ind w:left="0" w:firstLine="709"/>
        <w:rPr>
          <w:sz w:val="28"/>
        </w:rPr>
      </w:pPr>
      <w:r w:rsidRPr="00B51560">
        <w:rPr>
          <w:sz w:val="28"/>
        </w:rPr>
        <w:t>Настольный теннис для слепых (</w:t>
      </w:r>
      <w:proofErr w:type="spellStart"/>
      <w:r w:rsidRPr="00B51560">
        <w:rPr>
          <w:sz w:val="28"/>
        </w:rPr>
        <w:t>шоудаун</w:t>
      </w:r>
      <w:proofErr w:type="spellEnd"/>
      <w:r w:rsidRPr="00B51560">
        <w:rPr>
          <w:sz w:val="28"/>
        </w:rPr>
        <w:t xml:space="preserve">) — вид адаптивного спорта, который сочетает элементы настольного тенниса и </w:t>
      </w:r>
      <w:proofErr w:type="spellStart"/>
      <w:r w:rsidRPr="00B51560">
        <w:rPr>
          <w:sz w:val="28"/>
        </w:rPr>
        <w:t>аэрохоккея</w:t>
      </w:r>
      <w:proofErr w:type="spellEnd"/>
      <w:r w:rsidRPr="00B51560">
        <w:rPr>
          <w:sz w:val="28"/>
        </w:rPr>
        <w:t xml:space="preserve">. </w:t>
      </w:r>
    </w:p>
    <w:p w:rsidR="006C6456" w:rsidRDefault="006C6456" w:rsidP="006C6456">
      <w:pPr>
        <w:pStyle w:val="a5"/>
        <w:tabs>
          <w:tab w:val="left" w:pos="1478"/>
        </w:tabs>
        <w:ind w:left="0" w:firstLine="709"/>
        <w:rPr>
          <w:b/>
          <w:sz w:val="28"/>
        </w:rPr>
      </w:pPr>
    </w:p>
    <w:p w:rsidR="00B51560" w:rsidRPr="00B51560" w:rsidRDefault="00B51560" w:rsidP="006C6456">
      <w:pPr>
        <w:pStyle w:val="a5"/>
        <w:tabs>
          <w:tab w:val="left" w:pos="1478"/>
        </w:tabs>
        <w:ind w:left="0" w:firstLine="709"/>
        <w:rPr>
          <w:b/>
          <w:sz w:val="28"/>
        </w:rPr>
      </w:pPr>
      <w:r w:rsidRPr="00B51560">
        <w:rPr>
          <w:b/>
          <w:sz w:val="28"/>
        </w:rPr>
        <w:t>Правила игры:</w:t>
      </w:r>
    </w:p>
    <w:p w:rsidR="00B51560" w:rsidRPr="00B51560" w:rsidRDefault="00B51560" w:rsidP="006C6456">
      <w:pPr>
        <w:pStyle w:val="a5"/>
        <w:tabs>
          <w:tab w:val="left" w:pos="1478"/>
        </w:tabs>
        <w:ind w:left="0" w:firstLine="709"/>
        <w:rPr>
          <w:sz w:val="28"/>
        </w:rPr>
      </w:pPr>
      <w:r w:rsidRPr="00B51560">
        <w:rPr>
          <w:sz w:val="28"/>
        </w:rPr>
        <w:t>Стол имеет длину 3,66 м и ширину 1,22 м, оснащён бортами высотой до 30 см. Стол разделён на две половины центральным бортом из оргстекла высотой 10 см.</w:t>
      </w:r>
    </w:p>
    <w:p w:rsidR="00B51560" w:rsidRPr="00B51560" w:rsidRDefault="00B51560" w:rsidP="006C6456">
      <w:pPr>
        <w:pStyle w:val="a5"/>
        <w:tabs>
          <w:tab w:val="left" w:pos="1478"/>
        </w:tabs>
        <w:ind w:left="0" w:firstLine="709"/>
        <w:rPr>
          <w:sz w:val="28"/>
        </w:rPr>
      </w:pPr>
      <w:r w:rsidRPr="00B51560">
        <w:rPr>
          <w:sz w:val="28"/>
        </w:rPr>
        <w:t xml:space="preserve">Игровой мяч должен не перелетать над центральным бортом, </w:t>
      </w:r>
      <w:r w:rsidR="006C6456">
        <w:rPr>
          <w:sz w:val="28"/>
        </w:rPr>
        <w:br/>
      </w:r>
      <w:r w:rsidRPr="00B51560">
        <w:rPr>
          <w:sz w:val="28"/>
        </w:rPr>
        <w:t>а катиться под ним по скользкой поверхности и попадать в полукруглые лузы.</w:t>
      </w:r>
    </w:p>
    <w:p w:rsidR="00B51560" w:rsidRPr="00B51560" w:rsidRDefault="00B51560" w:rsidP="006C6456">
      <w:pPr>
        <w:pStyle w:val="a5"/>
        <w:tabs>
          <w:tab w:val="left" w:pos="1478"/>
        </w:tabs>
        <w:ind w:left="0" w:firstLine="709"/>
        <w:rPr>
          <w:sz w:val="28"/>
        </w:rPr>
      </w:pPr>
      <w:r w:rsidRPr="00B51560">
        <w:rPr>
          <w:sz w:val="28"/>
        </w:rPr>
        <w:t>Ракетка визуально напоминает кухонную лопатку. Для защиты руки обязательно используется защитная перчатка с силиконовыми подушечками на пальцах.</w:t>
      </w:r>
    </w:p>
    <w:p w:rsidR="00B51560" w:rsidRPr="00B51560" w:rsidRDefault="00B51560" w:rsidP="006C6456">
      <w:pPr>
        <w:pStyle w:val="a5"/>
        <w:tabs>
          <w:tab w:val="left" w:pos="1478"/>
        </w:tabs>
        <w:ind w:left="0" w:firstLine="709"/>
        <w:rPr>
          <w:sz w:val="28"/>
        </w:rPr>
      </w:pPr>
      <w:r w:rsidRPr="00B51560">
        <w:rPr>
          <w:sz w:val="28"/>
        </w:rPr>
        <w:t xml:space="preserve">Среди участников не только полностью незрячие, но и люди </w:t>
      </w:r>
      <w:r w:rsidR="006C6456">
        <w:rPr>
          <w:sz w:val="28"/>
        </w:rPr>
        <w:br/>
      </w:r>
      <w:r w:rsidRPr="00B51560">
        <w:rPr>
          <w:sz w:val="28"/>
        </w:rPr>
        <w:t>с частичным поражением зрения, поэтому для уравнивания шансов используются специальные светонепроницаемые маски.</w:t>
      </w:r>
    </w:p>
    <w:p w:rsidR="00B51560" w:rsidRPr="00B51560" w:rsidRDefault="00B51560" w:rsidP="006C6456">
      <w:pPr>
        <w:pStyle w:val="a5"/>
        <w:tabs>
          <w:tab w:val="left" w:pos="1478"/>
        </w:tabs>
        <w:ind w:left="0" w:firstLine="709"/>
        <w:rPr>
          <w:sz w:val="28"/>
        </w:rPr>
      </w:pPr>
      <w:r w:rsidRPr="00B51560">
        <w:rPr>
          <w:sz w:val="28"/>
        </w:rPr>
        <w:t xml:space="preserve">Любой вылет игрового снаряда за пределы поля или попадание </w:t>
      </w:r>
      <w:r w:rsidR="006C6456">
        <w:rPr>
          <w:sz w:val="28"/>
        </w:rPr>
        <w:br/>
      </w:r>
      <w:r w:rsidRPr="00B51560">
        <w:rPr>
          <w:sz w:val="28"/>
        </w:rPr>
        <w:t>в центральный борт считаются нарушением правил и влекут за собой штрафное очко.</w:t>
      </w:r>
    </w:p>
    <w:p w:rsidR="00B51560" w:rsidRPr="00B51560" w:rsidRDefault="00B51560" w:rsidP="006C6456">
      <w:pPr>
        <w:pStyle w:val="a5"/>
        <w:tabs>
          <w:tab w:val="left" w:pos="1478"/>
        </w:tabs>
        <w:ind w:left="0" w:firstLine="709"/>
        <w:rPr>
          <w:sz w:val="28"/>
        </w:rPr>
      </w:pPr>
      <w:r w:rsidRPr="00B51560">
        <w:rPr>
          <w:sz w:val="28"/>
        </w:rPr>
        <w:t xml:space="preserve">Взятие ворот оценивается двумя очками. Партия продолжается </w:t>
      </w:r>
      <w:r w:rsidR="006C6456">
        <w:rPr>
          <w:sz w:val="28"/>
        </w:rPr>
        <w:br/>
      </w:r>
      <w:r w:rsidRPr="00B51560">
        <w:rPr>
          <w:sz w:val="28"/>
        </w:rPr>
        <w:t>до 11 очков и разницы в два очка у одного из участников.</w:t>
      </w:r>
    </w:p>
    <w:p w:rsidR="00B51560" w:rsidRPr="00B51560" w:rsidRDefault="00B51560" w:rsidP="006C6456">
      <w:pPr>
        <w:pStyle w:val="a5"/>
        <w:tabs>
          <w:tab w:val="left" w:pos="1478"/>
        </w:tabs>
        <w:ind w:left="0" w:firstLine="709"/>
        <w:rPr>
          <w:sz w:val="28"/>
        </w:rPr>
      </w:pPr>
      <w:r w:rsidRPr="00B51560">
        <w:rPr>
          <w:sz w:val="28"/>
        </w:rPr>
        <w:t>Играют обычно один на один, но проводятся и командные соревнования — три на три, четыре на четыре и даже шесть на шесть.</w:t>
      </w:r>
    </w:p>
    <w:p w:rsidR="00B51560" w:rsidRPr="006C6456" w:rsidRDefault="00B51560" w:rsidP="006C6456">
      <w:pPr>
        <w:pStyle w:val="a5"/>
        <w:tabs>
          <w:tab w:val="left" w:pos="1478"/>
        </w:tabs>
        <w:ind w:left="0" w:firstLine="709"/>
        <w:rPr>
          <w:sz w:val="28"/>
        </w:rPr>
      </w:pPr>
    </w:p>
    <w:p w:rsidR="00B51560" w:rsidRPr="006C6456" w:rsidRDefault="00B51560" w:rsidP="006C6456">
      <w:pPr>
        <w:pStyle w:val="a3"/>
        <w:ind w:left="0" w:firstLine="0"/>
        <w:rPr>
          <w:b/>
        </w:rPr>
      </w:pPr>
      <w:r w:rsidRPr="006C6456">
        <w:rPr>
          <w:b/>
        </w:rPr>
        <w:t>Соревнования</w:t>
      </w:r>
      <w:r w:rsidRPr="006C6456">
        <w:rPr>
          <w:b/>
          <w:spacing w:val="16"/>
        </w:rPr>
        <w:t xml:space="preserve"> </w:t>
      </w:r>
      <w:r w:rsidRPr="006C6456">
        <w:rPr>
          <w:b/>
        </w:rPr>
        <w:t>проводятся</w:t>
      </w:r>
      <w:r w:rsidRPr="006C6456">
        <w:rPr>
          <w:b/>
          <w:spacing w:val="21"/>
        </w:rPr>
        <w:t xml:space="preserve"> </w:t>
      </w:r>
      <w:r w:rsidRPr="006C6456">
        <w:rPr>
          <w:b/>
        </w:rPr>
        <w:t>в</w:t>
      </w:r>
      <w:r w:rsidRPr="006C6456">
        <w:rPr>
          <w:b/>
          <w:spacing w:val="20"/>
        </w:rPr>
        <w:t xml:space="preserve"> </w:t>
      </w:r>
      <w:r w:rsidRPr="006C6456">
        <w:rPr>
          <w:b/>
        </w:rPr>
        <w:t>следующих</w:t>
      </w:r>
      <w:r w:rsidRPr="006C6456">
        <w:rPr>
          <w:b/>
          <w:spacing w:val="21"/>
        </w:rPr>
        <w:t xml:space="preserve"> </w:t>
      </w:r>
      <w:r w:rsidRPr="006C6456">
        <w:rPr>
          <w:b/>
        </w:rPr>
        <w:t>спортивных</w:t>
      </w:r>
      <w:r w:rsidRPr="006C6456">
        <w:rPr>
          <w:b/>
          <w:spacing w:val="21"/>
        </w:rPr>
        <w:t xml:space="preserve"> </w:t>
      </w:r>
      <w:r w:rsidRPr="006C6456">
        <w:rPr>
          <w:b/>
        </w:rPr>
        <w:t>дисциплинах</w:t>
      </w:r>
      <w:r w:rsidRPr="006C6456">
        <w:rPr>
          <w:b/>
          <w:spacing w:val="31"/>
        </w:rPr>
        <w:t xml:space="preserve"> </w:t>
      </w:r>
    </w:p>
    <w:p w:rsidR="00B51560" w:rsidRDefault="00B51560" w:rsidP="00B51560">
      <w:pPr>
        <w:pStyle w:val="a3"/>
        <w:spacing w:after="2"/>
        <w:ind w:left="0" w:right="90" w:firstLine="0"/>
      </w:pPr>
    </w:p>
    <w:tbl>
      <w:tblPr>
        <w:tblStyle w:val="TableNormal"/>
        <w:tblW w:w="9367" w:type="dxa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4799"/>
      </w:tblGrid>
      <w:tr w:rsidR="00B51560" w:rsidTr="006C6456">
        <w:trPr>
          <w:trHeight w:val="321"/>
        </w:trPr>
        <w:tc>
          <w:tcPr>
            <w:tcW w:w="4568" w:type="dxa"/>
          </w:tcPr>
          <w:p w:rsidR="00B51560" w:rsidRDefault="00B51560" w:rsidP="00B51560">
            <w:pPr>
              <w:pStyle w:val="TableParagraph"/>
              <w:spacing w:line="301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Спортивные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дисциплины</w:t>
            </w:r>
            <w:proofErr w:type="spellEnd"/>
          </w:p>
        </w:tc>
        <w:tc>
          <w:tcPr>
            <w:tcW w:w="4799" w:type="dxa"/>
          </w:tcPr>
          <w:p w:rsidR="00B51560" w:rsidRDefault="00B51560" w:rsidP="00B51560">
            <w:pPr>
              <w:pStyle w:val="TableParagraph"/>
              <w:spacing w:line="301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Пол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возрастные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группы</w:t>
            </w:r>
            <w:proofErr w:type="spellEnd"/>
          </w:p>
        </w:tc>
      </w:tr>
      <w:tr w:rsidR="00B51560" w:rsidTr="006C6456">
        <w:trPr>
          <w:trHeight w:val="964"/>
        </w:trPr>
        <w:tc>
          <w:tcPr>
            <w:tcW w:w="4568" w:type="dxa"/>
          </w:tcPr>
          <w:p w:rsidR="00B51560" w:rsidRPr="00834FB5" w:rsidRDefault="00B51560" w:rsidP="00B51560">
            <w:pPr>
              <w:pStyle w:val="TableParagraph"/>
              <w:rPr>
                <w:sz w:val="28"/>
                <w:lang w:val="ru-RU"/>
              </w:rPr>
            </w:pPr>
            <w:r w:rsidRPr="00834FB5">
              <w:rPr>
                <w:sz w:val="28"/>
                <w:lang w:val="ru-RU"/>
              </w:rPr>
              <w:t>Настольный</w:t>
            </w:r>
            <w:r w:rsidRPr="00834FB5">
              <w:rPr>
                <w:spacing w:val="-6"/>
                <w:sz w:val="28"/>
                <w:lang w:val="ru-RU"/>
              </w:rPr>
              <w:t xml:space="preserve"> </w:t>
            </w:r>
            <w:r w:rsidRPr="00834FB5">
              <w:rPr>
                <w:sz w:val="28"/>
                <w:lang w:val="ru-RU"/>
              </w:rPr>
              <w:t>теннис</w:t>
            </w:r>
            <w:r w:rsidRPr="00834FB5">
              <w:rPr>
                <w:spacing w:val="-5"/>
                <w:sz w:val="28"/>
                <w:lang w:val="ru-RU"/>
              </w:rPr>
              <w:t xml:space="preserve"> </w:t>
            </w:r>
            <w:r w:rsidRPr="00834FB5">
              <w:rPr>
                <w:sz w:val="28"/>
                <w:lang w:val="ru-RU"/>
              </w:rPr>
              <w:t>(В1,</w:t>
            </w:r>
            <w:r w:rsidRPr="00834FB5">
              <w:rPr>
                <w:spacing w:val="-4"/>
                <w:sz w:val="28"/>
                <w:lang w:val="ru-RU"/>
              </w:rPr>
              <w:t xml:space="preserve"> </w:t>
            </w:r>
            <w:r w:rsidRPr="00834FB5">
              <w:rPr>
                <w:sz w:val="28"/>
                <w:lang w:val="ru-RU"/>
              </w:rPr>
              <w:t>В2,</w:t>
            </w:r>
            <w:r w:rsidRPr="00834FB5">
              <w:rPr>
                <w:spacing w:val="-4"/>
                <w:sz w:val="28"/>
                <w:lang w:val="ru-RU"/>
              </w:rPr>
              <w:t xml:space="preserve"> </w:t>
            </w:r>
            <w:r w:rsidRPr="00834FB5">
              <w:rPr>
                <w:spacing w:val="-5"/>
                <w:sz w:val="28"/>
                <w:lang w:val="ru-RU"/>
              </w:rPr>
              <w:t>В3)</w:t>
            </w:r>
          </w:p>
        </w:tc>
        <w:tc>
          <w:tcPr>
            <w:tcW w:w="4799" w:type="dxa"/>
          </w:tcPr>
          <w:p w:rsidR="00B51560" w:rsidRPr="00834FB5" w:rsidRDefault="00B51560" w:rsidP="00B51560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34FB5">
              <w:rPr>
                <w:sz w:val="28"/>
                <w:lang w:val="ru-RU"/>
              </w:rPr>
              <w:t>Мужчины,</w:t>
            </w:r>
            <w:r w:rsidRPr="00834FB5">
              <w:rPr>
                <w:spacing w:val="-6"/>
                <w:sz w:val="28"/>
                <w:lang w:val="ru-RU"/>
              </w:rPr>
              <w:t xml:space="preserve"> </w:t>
            </w:r>
            <w:r w:rsidRPr="00834FB5">
              <w:rPr>
                <w:spacing w:val="-2"/>
                <w:sz w:val="28"/>
                <w:lang w:val="ru-RU"/>
              </w:rPr>
              <w:t>женщины,</w:t>
            </w:r>
          </w:p>
          <w:p w:rsidR="00B51560" w:rsidRPr="00834FB5" w:rsidRDefault="00B51560" w:rsidP="00B51560">
            <w:pPr>
              <w:pStyle w:val="TableParagraph"/>
              <w:tabs>
                <w:tab w:val="left" w:pos="1543"/>
                <w:tab w:val="left" w:pos="3007"/>
                <w:tab w:val="left" w:pos="4142"/>
              </w:tabs>
              <w:spacing w:line="322" w:lineRule="exact"/>
              <w:ind w:right="93"/>
              <w:rPr>
                <w:sz w:val="28"/>
                <w:lang w:val="ru-RU"/>
              </w:rPr>
            </w:pPr>
            <w:r w:rsidRPr="00834FB5">
              <w:rPr>
                <w:spacing w:val="-2"/>
                <w:sz w:val="28"/>
                <w:lang w:val="ru-RU"/>
              </w:rPr>
              <w:t>юниоры,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834FB5">
              <w:rPr>
                <w:spacing w:val="-2"/>
                <w:sz w:val="28"/>
                <w:lang w:val="ru-RU"/>
              </w:rPr>
              <w:t>юниорки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834FB5">
              <w:rPr>
                <w:spacing w:val="-2"/>
                <w:sz w:val="28"/>
                <w:lang w:val="ru-RU"/>
              </w:rPr>
              <w:t>(16-20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834FB5">
              <w:rPr>
                <w:spacing w:val="-4"/>
                <w:sz w:val="28"/>
                <w:lang w:val="ru-RU"/>
              </w:rPr>
              <w:t xml:space="preserve">лет), </w:t>
            </w:r>
            <w:r w:rsidRPr="00834FB5">
              <w:rPr>
                <w:sz w:val="28"/>
                <w:lang w:val="ru-RU"/>
              </w:rPr>
              <w:t>юноши, девушки (13-15 лет)</w:t>
            </w:r>
          </w:p>
        </w:tc>
      </w:tr>
      <w:tr w:rsidR="00B51560" w:rsidTr="005310C4">
        <w:trPr>
          <w:trHeight w:val="689"/>
        </w:trPr>
        <w:tc>
          <w:tcPr>
            <w:tcW w:w="4568" w:type="dxa"/>
          </w:tcPr>
          <w:p w:rsidR="00B51560" w:rsidRPr="00834FB5" w:rsidRDefault="00B51560" w:rsidP="00B51560">
            <w:pPr>
              <w:pStyle w:val="TableParagraph"/>
              <w:tabs>
                <w:tab w:val="left" w:pos="1788"/>
                <w:tab w:val="left" w:pos="2820"/>
                <w:tab w:val="left" w:pos="3125"/>
              </w:tabs>
              <w:spacing w:line="322" w:lineRule="exact"/>
              <w:ind w:right="95"/>
              <w:rPr>
                <w:sz w:val="28"/>
                <w:lang w:val="ru-RU"/>
              </w:rPr>
            </w:pPr>
            <w:r w:rsidRPr="00834FB5">
              <w:rPr>
                <w:spacing w:val="-2"/>
                <w:sz w:val="28"/>
                <w:lang w:val="ru-RU"/>
              </w:rPr>
              <w:t>Настольный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834FB5">
              <w:rPr>
                <w:spacing w:val="-2"/>
                <w:sz w:val="28"/>
                <w:lang w:val="ru-RU"/>
              </w:rPr>
              <w:t>теннис</w:t>
            </w:r>
            <w:r>
              <w:rPr>
                <w:spacing w:val="-2"/>
                <w:sz w:val="28"/>
                <w:lang w:val="ru-RU"/>
              </w:rPr>
              <w:t>-</w:t>
            </w:r>
            <w:r w:rsidRPr="00834FB5">
              <w:rPr>
                <w:spacing w:val="-2"/>
                <w:sz w:val="28"/>
                <w:lang w:val="ru-RU"/>
              </w:rPr>
              <w:t xml:space="preserve">командные </w:t>
            </w:r>
            <w:r w:rsidRPr="00834FB5">
              <w:rPr>
                <w:sz w:val="28"/>
                <w:lang w:val="ru-RU"/>
              </w:rPr>
              <w:t>соревнования (В1, В2, В3)</w:t>
            </w:r>
          </w:p>
        </w:tc>
        <w:tc>
          <w:tcPr>
            <w:tcW w:w="4799" w:type="dxa"/>
          </w:tcPr>
          <w:p w:rsidR="00B51560" w:rsidRDefault="00B51560" w:rsidP="00B51560">
            <w:pPr>
              <w:pStyle w:val="TableParagraph"/>
              <w:spacing w:before="1"/>
              <w:rPr>
                <w:sz w:val="28"/>
              </w:rPr>
            </w:pPr>
            <w:proofErr w:type="spellStart"/>
            <w:r>
              <w:rPr>
                <w:sz w:val="28"/>
              </w:rPr>
              <w:t>Мужчины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женщины</w:t>
            </w:r>
            <w:proofErr w:type="spellEnd"/>
          </w:p>
        </w:tc>
      </w:tr>
    </w:tbl>
    <w:p w:rsidR="006C6456" w:rsidRDefault="006C6456" w:rsidP="006C6456">
      <w:pPr>
        <w:pStyle w:val="a5"/>
        <w:tabs>
          <w:tab w:val="left" w:pos="1478"/>
        </w:tabs>
        <w:ind w:left="0" w:firstLine="709"/>
        <w:rPr>
          <w:sz w:val="28"/>
        </w:rPr>
      </w:pPr>
    </w:p>
    <w:p w:rsidR="006C6456" w:rsidRPr="00B51560" w:rsidRDefault="006C6456" w:rsidP="006C6456">
      <w:pPr>
        <w:pStyle w:val="a5"/>
        <w:tabs>
          <w:tab w:val="left" w:pos="1478"/>
        </w:tabs>
        <w:ind w:left="0" w:firstLine="709"/>
        <w:rPr>
          <w:sz w:val="28"/>
        </w:rPr>
      </w:pPr>
      <w:r w:rsidRPr="00B51560">
        <w:rPr>
          <w:sz w:val="28"/>
        </w:rPr>
        <w:t xml:space="preserve">Настольный теннис для слепых — это адаптивный вид спорта, который развивает координацию, реакцию и слуховое внимание. Он помогает спортсменам поддерживать активность, улучшать здоровье и достигать новых спортивных высот. </w:t>
      </w:r>
    </w:p>
    <w:p w:rsidR="005310C4" w:rsidRDefault="007F01EA">
      <w:r>
        <w:t xml:space="preserve"> </w:t>
      </w:r>
    </w:p>
    <w:p w:rsidR="005310C4" w:rsidRPr="001E2A58" w:rsidRDefault="005310C4" w:rsidP="005310C4">
      <w:pPr>
        <w:spacing w:after="0"/>
        <w:ind w:left="-426" w:firstLine="426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Богданова Оксана Александровна</w:t>
      </w:r>
    </w:p>
    <w:p w:rsidR="005310C4" w:rsidRDefault="005310C4" w:rsidP="005310C4">
      <w:pPr>
        <w:spacing w:after="0"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8431AB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5310C4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Частное учреждение «Пермский культурно-спортивный реабилитационный центр Вс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ероссийского общества слепых», </w:t>
      </w:r>
    </w:p>
    <w:p w:rsidR="005310C4" w:rsidRDefault="005310C4" w:rsidP="005310C4">
      <w:pPr>
        <w:spacing w:after="0"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5310C4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г. Пермь, ул. Краснова 18.</w:t>
      </w:r>
    </w:p>
    <w:p w:rsidR="005310C4" w:rsidRDefault="005310C4" w:rsidP="005310C4">
      <w:pPr>
        <w:spacing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:rsidR="005310C4" w:rsidRDefault="005310C4" w:rsidP="005310C4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:rsidR="005310C4" w:rsidRPr="005310C4" w:rsidRDefault="005310C4" w:rsidP="005310C4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  <w:bookmarkStart w:id="0" w:name="_GoBack"/>
      <w:bookmarkEnd w:id="0"/>
    </w:p>
    <w:sectPr w:rsidR="005310C4" w:rsidRPr="005310C4" w:rsidSect="005310C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88"/>
    <w:rsid w:val="000473DF"/>
    <w:rsid w:val="00502A88"/>
    <w:rsid w:val="005310C4"/>
    <w:rsid w:val="006C6456"/>
    <w:rsid w:val="007F01EA"/>
    <w:rsid w:val="00B5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56D1"/>
  <w15:docId w15:val="{85318BE2-B461-4921-AB85-F024CB59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15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1560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156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51560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515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1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Федор</cp:lastModifiedBy>
  <cp:revision>4</cp:revision>
  <dcterms:created xsi:type="dcterms:W3CDTF">2026-01-15T06:42:00Z</dcterms:created>
  <dcterms:modified xsi:type="dcterms:W3CDTF">2026-02-03T13:09:00Z</dcterms:modified>
</cp:coreProperties>
</file>